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AC1C304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6132FD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5E4407E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132FD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6132F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proofErr w:type="spellEnd"/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938C2F4" w:rsidR="0085747A" w:rsidRPr="009C54AE" w:rsidRDefault="0044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D7EBC7E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03CF5C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 xml:space="preserve">Zachowuje krytycyzm i niezależność myślenia w ocenie analizowanych problemów, potrafi myśleć i działać w sposób przedsiębiorczy, prawidłowo identyfikuje i </w:t>
            </w: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lastRenderedPageBreak/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6FEE21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9D1C98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lastRenderedPageBreak/>
              <w:t xml:space="preserve">Bławat F.,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Zaleska M., Ocena kondycji finansowej przedsiębiorstwa przez analityka bankowego. Oficyna Wydawnicza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03118" w14:textId="77777777" w:rsidR="00080E46" w:rsidRDefault="00080E46" w:rsidP="00C16ABF">
      <w:pPr>
        <w:spacing w:after="0" w:line="240" w:lineRule="auto"/>
      </w:pPr>
      <w:r>
        <w:separator/>
      </w:r>
    </w:p>
  </w:endnote>
  <w:endnote w:type="continuationSeparator" w:id="0">
    <w:p w14:paraId="6F06EEB8" w14:textId="77777777" w:rsidR="00080E46" w:rsidRDefault="00080E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84798" w14:textId="77777777" w:rsidR="00080E46" w:rsidRDefault="00080E46" w:rsidP="00C16ABF">
      <w:pPr>
        <w:spacing w:after="0" w:line="240" w:lineRule="auto"/>
      </w:pPr>
      <w:r>
        <w:separator/>
      </w:r>
    </w:p>
  </w:footnote>
  <w:footnote w:type="continuationSeparator" w:id="0">
    <w:p w14:paraId="3DDF7690" w14:textId="77777777" w:rsidR="00080E46" w:rsidRDefault="00080E46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755C2"/>
    <w:rsid w:val="00080E4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ACA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2FD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CA4"/>
    <w:rsid w:val="008E64F4"/>
    <w:rsid w:val="008F12C9"/>
    <w:rsid w:val="008F6E29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12F8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1323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EB2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AF44A-387E-4A95-ACE5-1927EC49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2020-10-26T21:43:00Z</dcterms:created>
  <dcterms:modified xsi:type="dcterms:W3CDTF">2022-02-11T10:33:00Z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